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32 vom 28. Januar 1988</w:t>
      </w:r>
    </w:p>
    <w:p>
      <w:r>
        <w:t>Bundesgericht (BGE), 1988-01-28, DE</w:t>
      </w:r>
    </w:p>
    <w:p>
      <w:r>
        <w:rPr>
          <w:b/>
        </w:rPr>
        <w:t xml:space="preserve">Quelle: </w:t>
      </w:r>
      <w:r>
        <w:t>https://mcp.opencaselaw.ch/entscheid/bge_114 IA 32</w:t>
      </w:r>
    </w:p>
    <w:p>
      <w:r>
        <w:t>FR: BGE 114 IA 32 du 28 janvier 1988</w:t>
      </w:r>
    </w:p>
    <w:p>
      <w:r>
        <w:t>IT: BGE 114 IA 32 del 28 gennaio 1988</w:t>
      </w:r>
    </w:p>
    <w:p>
      <w:pPr>
        <w:pStyle w:val="Heading2"/>
      </w:pPr>
      <w:r>
        <w:t>Regeste</w:t>
      </w:r>
    </w:p>
    <w:p>
      <w:r>
        <w:t>Regeste Art. 22ter BV; Rechtssicherheit; Änderung von Zonenplänen. Die Verwirklichung einer den gesetzlichen Grundsätzen des RPG entsprechenden Planung hat Vorrang vor dem Gebot der Beständigkeit eines Planes. Die Frage der Rechtssicherheit und damit der Planbeständigkeit stellt sich daher nur für bundesrechtskonforme Pläne.</w:t>
      </w:r>
    </w:p>
    <w:p>
      <w:pPr>
        <w:pStyle w:val="Heading2"/>
      </w:pPr>
      <w:r>
        <w:t>Erwägungen</w:t>
      </w:r>
    </w:p>
    <w:p>
      <w:r>
        <w:rPr>
          <w:b/>
        </w:rPr>
        <w:t>E. 6</w:t>
      </w:r>
    </w:p>
    <w:p>
      <w:r>
        <w:t>Die Beschwerdeführer machen geltend, die Auszonungen verstiessen gegen das Gebot der Rechtssicherheit. Das Bundesgericht hat im Zusammenhang mit Zonenplanänderungen wiederholt festgestellt, dass die Eigentumsgarantie dem Grundeigentümer keinen unbedingten Anspruch darauf gibt, dass sein Land dauernd in jener Zone bleibt, in die es einmal eingewiesen worden ist. Die verfassungsmässige Gewährleistung des Eigentums steht einer nachträglichen Änderung oder Beschränkung der aus einer bestimmten Zoneneinteilung folgenden Nutzungsmöglichkeit nicht entgegen. Planung und Wirklichkeit müssen bei Bedarf in Übereinstimmung gebracht werden können. Das Bundesgericht hat indessen darauf hingewiesen, dass bei der erforderlichen Interessenabwägung dem Gebot der Rechtssicherheit Rechnung zu tragen ist. Ein Zonenplan kann seinen Zweck nur erfüllen, wenn er eine gewisse Beständigkeit aufweist. Er ist daher nur aus entsprechend gewichtigen Gründen abzuändern ( BGE 109 Ia 114 /115 E. 3; BGE 106 Ia 387 /388 E. 3c, je mit Hinweisen). Solche Gründe liegen nach der Rechtsprechung des Bundesgerichtes vor, wenn ein Zonenplan mit einer überdimensionierten Bauzone an die Planungsgrundsätze von Art. 15 RPG angepasst werden soll ( BGE 111 Ia 22 E. 2d, 140 E. 7a; BGE 107 Ib 335 E. 2b mit Hinweisen). Die Verwirklichung einer den gesetzlichen Grundsätzen entsprechenden Planung hat Vorrang vor dem Gebot der Beständigkeit eines Planes. Die Frage der Rechtssicherheit und damit der Planbeständigkeit stellt sich nach der bundesgerichtlichen Praxis nur für bundesrechtskonforme Pläne (vgl. dazu etwa die Urteile vom 10. Dezember 1987 i.S. Einwohnergemeinde Oberwil, vom 15. Oktober 1986 BGE 114 Ia 32 S. 34 i.S. Gemeinde Flims und vom 10. Juli 1985 i.S. Gemeinde Stettlen). Im vorliegenden Fall handelt es sich beim Zonenplan 1974, wie gezeigt, um einen hinsichtlich der Grösse der Bauzone im Lichte von Art. 15 RPG bundesrechtswidrigen Zonenplan, der nach dem Gesagten an diese Vorschrift des Bundesrechts angepasst werden durfte, ohne dass dadurch eine Verfassungsverletzung eingetreten ist. Im übrigen waren im Zeitpunkt der Auflagen des umstrittenen Zonenplanes in den Jahren 1984 und 1985 seit dem Erlass des Zonenplanes 1974 über neun und seit der regierungsrätlichen Genehmigung des letzteren über sieben Jahre verflossen. Von einer erst einjährigen Geltungsdauer des Zonenplans 1974 - wie dies die Beschwerdeführer behaupten - kann also keine Rede sein, und die Auszonung erschiene auch unter dem Gesichtspunkt des Zeitablaufs nicht als verfassungswidrig.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